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7548E4EA" w:rsidR="007C2FEE" w:rsidRPr="00C51A52" w:rsidRDefault="00DC1544" w:rsidP="007C2FEE">
      <w:pPr>
        <w:pStyle w:val="Head"/>
      </w:pPr>
      <w:r w:rsidRPr="00C51A52">
        <w:t>Benninghoven</w:t>
      </w:r>
      <w:r w:rsidR="00C232C2" w:rsidRPr="00C51A52">
        <w:t xml:space="preserve"> │ </w:t>
      </w:r>
      <w:bookmarkStart w:id="0" w:name="_Hlk203038193"/>
      <w:r w:rsidR="0070426C">
        <w:t xml:space="preserve">Retrofit-Lösung </w:t>
      </w:r>
      <w:r w:rsidR="00D55316">
        <w:t>überzeugt im Alpenrheintal</w:t>
      </w:r>
    </w:p>
    <w:p w14:paraId="34A89D42" w14:textId="482852B7" w:rsidR="007C2FEE" w:rsidRPr="00C51A52" w:rsidRDefault="00807BF0" w:rsidP="007C2FEE">
      <w:pPr>
        <w:pStyle w:val="Subhead"/>
      </w:pPr>
      <w:r>
        <w:t>Umsetzen, z</w:t>
      </w:r>
      <w:r w:rsidR="00D55316">
        <w:t>usammenführ</w:t>
      </w:r>
      <w:r>
        <w:t>en und erweitern</w:t>
      </w:r>
      <w:r w:rsidR="00D55316">
        <w:t xml:space="preserve"> zweier Asphaltmischanlagen</w:t>
      </w:r>
    </w:p>
    <w:bookmarkEnd w:id="0"/>
    <w:p w14:paraId="43A5AB78" w14:textId="01ABFB01" w:rsidR="007C2FEE" w:rsidRPr="00C51A52" w:rsidRDefault="0034664B" w:rsidP="007C2FEE">
      <w:pPr>
        <w:pStyle w:val="Teaser"/>
      </w:pPr>
      <w:r>
        <w:t xml:space="preserve">An den </w:t>
      </w:r>
      <w:r w:rsidR="00D55316">
        <w:t xml:space="preserve">österreichischen </w:t>
      </w:r>
      <w:r>
        <w:t>Standorten Götzis und Nenzing stehen zwei Benninghoven Asphaltmischanlagen, die beide bereits seit vielen Jahren im Einsatz sind.</w:t>
      </w:r>
      <w:r w:rsidRPr="0034664B">
        <w:t xml:space="preserve"> </w:t>
      </w:r>
      <w:r w:rsidR="003133D6">
        <w:t>Sie</w:t>
      </w:r>
      <w:r w:rsidRPr="00C51A52">
        <w:t xml:space="preserve"> </w:t>
      </w:r>
      <w:r>
        <w:t xml:space="preserve">wurden jetzt </w:t>
      </w:r>
      <w:r w:rsidR="0070426C">
        <w:t xml:space="preserve">modernisiert </w:t>
      </w:r>
      <w:r w:rsidRPr="00C51A52">
        <w:t xml:space="preserve">und am Standort Götzis </w:t>
      </w:r>
      <w:r w:rsidR="0070426C">
        <w:t xml:space="preserve">neu </w:t>
      </w:r>
      <w:r w:rsidRPr="00C51A52">
        <w:t>zusammen</w:t>
      </w:r>
      <w:r>
        <w:t>ge</w:t>
      </w:r>
      <w:r w:rsidRPr="00C51A52">
        <w:t>führ</w:t>
      </w:r>
      <w:r>
        <w:t>t</w:t>
      </w:r>
      <w:r w:rsidR="007C2FEE" w:rsidRPr="00C51A52">
        <w:t xml:space="preserve">. </w:t>
      </w:r>
    </w:p>
    <w:p w14:paraId="074FF9E2" w14:textId="20AA9B52" w:rsidR="007C2FEE" w:rsidRPr="001F38A1" w:rsidRDefault="0070426C" w:rsidP="002B4CE2">
      <w:pPr>
        <w:pStyle w:val="Absatzberschrift"/>
        <w:spacing w:after="220"/>
        <w:jc w:val="both"/>
        <w:rPr>
          <w:b w:val="0"/>
        </w:rPr>
      </w:pPr>
      <w:r>
        <w:rPr>
          <w:b w:val="0"/>
          <w:bCs/>
        </w:rPr>
        <w:t>Im österreichischen Götzis hat Benninghoven eine</w:t>
      </w:r>
      <w:r w:rsidR="00D55316">
        <w:rPr>
          <w:b w:val="0"/>
          <w:bCs/>
        </w:rPr>
        <w:t xml:space="preserve"> leistungsfähige</w:t>
      </w:r>
      <w:r>
        <w:rPr>
          <w:b w:val="0"/>
          <w:bCs/>
        </w:rPr>
        <w:t xml:space="preserve"> Asphaltmischanlage aufgebaut, indem zwei bestehende Anlagen zusammengeführt </w:t>
      </w:r>
      <w:r w:rsidR="003133D6">
        <w:rPr>
          <w:b w:val="0"/>
          <w:bCs/>
        </w:rPr>
        <w:t xml:space="preserve">und </w:t>
      </w:r>
      <w:r w:rsidR="003133D6" w:rsidRPr="003133D6">
        <w:rPr>
          <w:b w:val="0"/>
          <w:bCs/>
        </w:rPr>
        <w:t xml:space="preserve">auf den neuesten Stand der Technik </w:t>
      </w:r>
      <w:r w:rsidR="00752AFE">
        <w:rPr>
          <w:b w:val="0"/>
          <w:bCs/>
        </w:rPr>
        <w:t xml:space="preserve">gebracht </w:t>
      </w:r>
      <w:r>
        <w:rPr>
          <w:b w:val="0"/>
          <w:bCs/>
        </w:rPr>
        <w:t xml:space="preserve">wurden. Aufgrund der Modulbauweise und einer umfangreichen Planung konnte die Retrofit-Lösung umgesetzt werden. </w:t>
      </w:r>
      <w:r w:rsidR="00DC1544" w:rsidRPr="0070426C">
        <w:rPr>
          <w:b w:val="0"/>
          <w:bCs/>
        </w:rPr>
        <w:t xml:space="preserve">Dabei </w:t>
      </w:r>
      <w:r w:rsidR="003133D6">
        <w:rPr>
          <w:b w:val="0"/>
          <w:bCs/>
        </w:rPr>
        <w:t>wurde</w:t>
      </w:r>
      <w:r w:rsidR="003133D6" w:rsidRPr="0070426C">
        <w:rPr>
          <w:b w:val="0"/>
          <w:bCs/>
        </w:rPr>
        <w:t xml:space="preserve"> </w:t>
      </w:r>
      <w:r w:rsidR="00DC1544" w:rsidRPr="0070426C">
        <w:rPr>
          <w:b w:val="0"/>
          <w:bCs/>
        </w:rPr>
        <w:t xml:space="preserve">ein nachhaltiger Ansatz verfolgt: </w:t>
      </w:r>
      <w:r w:rsidR="00D55316">
        <w:rPr>
          <w:b w:val="0"/>
          <w:bCs/>
        </w:rPr>
        <w:t>Die modulare</w:t>
      </w:r>
      <w:r w:rsidR="00807BF0">
        <w:rPr>
          <w:b w:val="0"/>
          <w:bCs/>
        </w:rPr>
        <w:t>n</w:t>
      </w:r>
      <w:r w:rsidR="00D55316">
        <w:rPr>
          <w:b w:val="0"/>
          <w:bCs/>
        </w:rPr>
        <w:t xml:space="preserve"> Benninghoven</w:t>
      </w:r>
      <w:r w:rsidR="00807BF0">
        <w:rPr>
          <w:b w:val="0"/>
          <w:bCs/>
        </w:rPr>
        <w:t xml:space="preserve"> Anlagen</w:t>
      </w:r>
      <w:r w:rsidR="00D55316">
        <w:rPr>
          <w:b w:val="0"/>
          <w:bCs/>
        </w:rPr>
        <w:t xml:space="preserve"> ermöglichte</w:t>
      </w:r>
      <w:r w:rsidR="00807BF0">
        <w:rPr>
          <w:b w:val="0"/>
          <w:bCs/>
        </w:rPr>
        <w:t>n</w:t>
      </w:r>
      <w:r w:rsidR="003133D6">
        <w:rPr>
          <w:b w:val="0"/>
          <w:bCs/>
        </w:rPr>
        <w:t xml:space="preserve"> es,</w:t>
      </w:r>
      <w:r w:rsidR="00807BF0">
        <w:rPr>
          <w:b w:val="0"/>
          <w:bCs/>
        </w:rPr>
        <w:t xml:space="preserve"> mehrheitlich die</w:t>
      </w:r>
      <w:r w:rsidR="00DC1544" w:rsidRPr="0070426C">
        <w:rPr>
          <w:b w:val="0"/>
          <w:bCs/>
        </w:rPr>
        <w:t xml:space="preserve"> Komponenten der bestehenden Anlagen wieder</w:t>
      </w:r>
      <w:r w:rsidR="00D55316">
        <w:rPr>
          <w:b w:val="0"/>
          <w:bCs/>
        </w:rPr>
        <w:t>zu</w:t>
      </w:r>
      <w:r w:rsidR="00DC1544" w:rsidRPr="0070426C">
        <w:rPr>
          <w:b w:val="0"/>
          <w:bCs/>
        </w:rPr>
        <w:t>verwende</w:t>
      </w:r>
      <w:r w:rsidR="00D55316">
        <w:rPr>
          <w:b w:val="0"/>
          <w:bCs/>
        </w:rPr>
        <w:t>n</w:t>
      </w:r>
      <w:r w:rsidR="00DC1544" w:rsidRPr="0070426C">
        <w:rPr>
          <w:b w:val="0"/>
          <w:bCs/>
        </w:rPr>
        <w:t xml:space="preserve"> </w:t>
      </w:r>
      <w:r w:rsidR="003133D6">
        <w:rPr>
          <w:b w:val="0"/>
          <w:bCs/>
        </w:rPr>
        <w:t xml:space="preserve">und mit </w:t>
      </w:r>
      <w:r w:rsidR="003133D6" w:rsidRPr="005C05C9">
        <w:rPr>
          <w:b w:val="0"/>
        </w:rPr>
        <w:t>neue</w:t>
      </w:r>
      <w:r w:rsidR="003133D6">
        <w:rPr>
          <w:b w:val="0"/>
        </w:rPr>
        <w:t>n</w:t>
      </w:r>
      <w:r w:rsidR="003133D6" w:rsidRPr="005C05C9">
        <w:rPr>
          <w:b w:val="0"/>
        </w:rPr>
        <w:t>, innovativen Retrofit-Lösungen</w:t>
      </w:r>
      <w:r w:rsidR="00DC1544" w:rsidRPr="005C05C9">
        <w:rPr>
          <w:b w:val="0"/>
        </w:rPr>
        <w:t xml:space="preserve"> </w:t>
      </w:r>
      <w:r w:rsidR="003133D6">
        <w:rPr>
          <w:b w:val="0"/>
        </w:rPr>
        <w:t>zu kombinieren</w:t>
      </w:r>
      <w:r w:rsidR="00DC1544" w:rsidRPr="005C05C9">
        <w:rPr>
          <w:b w:val="0"/>
        </w:rPr>
        <w:t xml:space="preserve">. </w:t>
      </w:r>
    </w:p>
    <w:p w14:paraId="22320BAD" w14:textId="7AA0CECE" w:rsidR="007C2FEE" w:rsidRPr="00C51A52" w:rsidRDefault="00DC1544" w:rsidP="002B4CE2">
      <w:pPr>
        <w:pStyle w:val="Teaserhead"/>
      </w:pPr>
      <w:r w:rsidRPr="00C51A52">
        <w:t>Demontage, Umzug und Montage der Asphaltmischanlage</w:t>
      </w:r>
    </w:p>
    <w:p w14:paraId="74F6A4A4" w14:textId="4C9C5D2C" w:rsidR="007C2FEE" w:rsidRDefault="00D55316" w:rsidP="007C2FEE">
      <w:pPr>
        <w:pStyle w:val="Standardabsatz"/>
      </w:pPr>
      <w:r w:rsidRPr="00D55316">
        <w:t>Die TBA-Anlage aus Nenzing wurde demontiert, 21</w:t>
      </w:r>
      <w:r w:rsidR="00781CEC">
        <w:t> </w:t>
      </w:r>
      <w:r w:rsidRPr="00D55316">
        <w:t xml:space="preserve">Kilometer transportiert und in Götzis mit den vorhandenen Bitumentanks verbunden. </w:t>
      </w:r>
    </w:p>
    <w:p w14:paraId="2A33F5D0" w14:textId="4B3931BC" w:rsidR="005C05C9" w:rsidRPr="00C51A52" w:rsidRDefault="005C05C9" w:rsidP="007C2FEE">
      <w:pPr>
        <w:pStyle w:val="Standardabsatz"/>
      </w:pPr>
      <w:r w:rsidRPr="00C51A52">
        <w:t xml:space="preserve">TBA Asphaltmischanlagen zeichnen sich durch ihren modularen Aufbau und große </w:t>
      </w:r>
      <w:proofErr w:type="spellStart"/>
      <w:r w:rsidRPr="00C51A52">
        <w:t>Einspeicherkapazitäten</w:t>
      </w:r>
      <w:proofErr w:type="spellEnd"/>
      <w:r w:rsidRPr="00C51A52">
        <w:t xml:space="preserve"> für </w:t>
      </w:r>
      <w:proofErr w:type="spellStart"/>
      <w:r w:rsidRPr="00C51A52">
        <w:t>Heißsilierung</w:t>
      </w:r>
      <w:proofErr w:type="spellEnd"/>
      <w:r w:rsidRPr="00C51A52">
        <w:t xml:space="preserve"> und Mischgutverladesilo aus. </w:t>
      </w:r>
      <w:r w:rsidR="00B70652">
        <w:t>Sie sind</w:t>
      </w:r>
      <w:r w:rsidRPr="00C51A52">
        <w:t xml:space="preserve"> sowohl für den semi-mobilen als auch für den stationären Einsatz geeignet. Ihre hohe Flexibilität, die Vielzahl an verfügbaren Optionen sowie </w:t>
      </w:r>
      <w:r>
        <w:t>weitere</w:t>
      </w:r>
      <w:r w:rsidRPr="00C51A52">
        <w:t xml:space="preserve"> Spezifikationen machen die TBA zu einem Spezialisten im Bereich der Asphaltmischanlagen.</w:t>
      </w:r>
      <w:r>
        <w:t xml:space="preserve"> </w:t>
      </w:r>
      <w:r w:rsidRPr="00C51A52">
        <w:t>Das innovative Anlagenkonzept ermöglicht es, die Anlage nahtlos in ihren gesamten Lebenszyklus zu integrieren.</w:t>
      </w:r>
    </w:p>
    <w:p w14:paraId="1E1BF6D6" w14:textId="2F97172A" w:rsidR="002D1259" w:rsidRPr="00C51A52" w:rsidRDefault="0070426C" w:rsidP="002D1259">
      <w:pPr>
        <w:pStyle w:val="Teaserhead"/>
      </w:pPr>
      <w:r>
        <w:t xml:space="preserve">Mehr </w:t>
      </w:r>
      <w:r w:rsidR="0089073A">
        <w:t xml:space="preserve">Vielfalt </w:t>
      </w:r>
      <w:r>
        <w:t xml:space="preserve">und </w:t>
      </w:r>
      <w:r w:rsidR="0089073A">
        <w:t>Flexibilität</w:t>
      </w:r>
    </w:p>
    <w:p w14:paraId="445E7FAB" w14:textId="71E1299E" w:rsidR="002D1259" w:rsidRPr="00C51A52" w:rsidRDefault="0089073A" w:rsidP="0017102C">
      <w:pPr>
        <w:pStyle w:val="Standardabsatz"/>
      </w:pPr>
      <w:r>
        <w:t>Durch die gezielte Erweiterung</w:t>
      </w:r>
      <w:r w:rsidR="005C05C9">
        <w:t xml:space="preserve"> der </w:t>
      </w:r>
      <w:proofErr w:type="spellStart"/>
      <w:r w:rsidR="00B70652">
        <w:t>Heißsilierung</w:t>
      </w:r>
      <w:proofErr w:type="spellEnd"/>
      <w:r w:rsidR="00B70652">
        <w:t xml:space="preserve"> bei der </w:t>
      </w:r>
      <w:r w:rsidR="005C05C9">
        <w:t>Anlage in Götzis</w:t>
      </w:r>
      <w:r>
        <w:t xml:space="preserve"> gibt es nun 14</w:t>
      </w:r>
      <w:r w:rsidR="00752AFE">
        <w:t> </w:t>
      </w:r>
      <w:r>
        <w:t xml:space="preserve">Taschen inklusive Drehschurre und 150 t Fassungsvermögen. </w:t>
      </w:r>
      <w:r w:rsidR="00C5394B">
        <w:t>Mehr u</w:t>
      </w:r>
      <w:r>
        <w:t xml:space="preserve">nterschiedliche Gesteinssorten können </w:t>
      </w:r>
      <w:r w:rsidR="00B70652">
        <w:t xml:space="preserve">künftig </w:t>
      </w:r>
      <w:r>
        <w:t xml:space="preserve">heiß </w:t>
      </w:r>
      <w:r w:rsidR="00C5394B">
        <w:t>bevorratet</w:t>
      </w:r>
      <w:r>
        <w:t xml:space="preserve"> werden</w:t>
      </w:r>
      <w:r w:rsidR="00D55316">
        <w:t>.</w:t>
      </w:r>
      <w:r>
        <w:t xml:space="preserve"> Ergänzt wird dies durch eine kombinierte Bitumenversorgung mit intelligenter Steuerung. </w:t>
      </w:r>
    </w:p>
    <w:p w14:paraId="7FB1C51E" w14:textId="6D074C61" w:rsidR="002D1259" w:rsidRPr="00C51A52" w:rsidRDefault="002D1259" w:rsidP="0089073A">
      <w:pPr>
        <w:pStyle w:val="Standardabsatz"/>
      </w:pPr>
      <w:r w:rsidRPr="00C51A52">
        <w:t>Die Kombination der Bitumenversorgungen beider Anlagen und die Integration einer intelligenten Bitumensteuerung ermöglicht es dem Kunden in Zeiten von Energieengpässen und schwankenden Bitumenpreisen flexibel zu agieren. Damit lassen sich sowohl die Menge als auch die Vielfalt an Bitumen effizient verwalten.</w:t>
      </w:r>
    </w:p>
    <w:p w14:paraId="0070AB87" w14:textId="149D033B" w:rsidR="002D1259" w:rsidRPr="00C51A52" w:rsidRDefault="00627D9D" w:rsidP="002D1259">
      <w:pPr>
        <w:pStyle w:val="Teaserhead"/>
      </w:pPr>
      <w:r>
        <w:t>R</w:t>
      </w:r>
      <w:r w:rsidR="00D55316">
        <w:t>ecycling</w:t>
      </w:r>
      <w:r>
        <w:t>anteil erhöhen, Bedienung vereinfachen</w:t>
      </w:r>
    </w:p>
    <w:p w14:paraId="2A2D4EF6" w14:textId="66919BEA" w:rsidR="002D1259" w:rsidRPr="00C51A52" w:rsidRDefault="002D1259" w:rsidP="004A0BB0">
      <w:pPr>
        <w:pStyle w:val="Teaserhead"/>
        <w:spacing w:after="220"/>
        <w:rPr>
          <w:b w:val="0"/>
        </w:rPr>
      </w:pPr>
      <w:r w:rsidRPr="00C51A52">
        <w:rPr>
          <w:b w:val="0"/>
        </w:rPr>
        <w:t xml:space="preserve">Neben dem bestehenden Kaltrecycling-System wurde </w:t>
      </w:r>
      <w:r w:rsidR="00B82D03">
        <w:rPr>
          <w:b w:val="0"/>
        </w:rPr>
        <w:t>die Anlage für die Heißgaserzeugertechnologie mit Recyclingraten bis zu 100% vorgerüstet.</w:t>
      </w:r>
      <w:r w:rsidRPr="00C51A52">
        <w:rPr>
          <w:b w:val="0"/>
        </w:rPr>
        <w:t xml:space="preserve"> Die</w:t>
      </w:r>
      <w:r w:rsidR="00D55316">
        <w:rPr>
          <w:b w:val="0"/>
        </w:rPr>
        <w:t xml:space="preserve"> </w:t>
      </w:r>
      <w:r w:rsidR="00B82D03">
        <w:rPr>
          <w:b w:val="0"/>
        </w:rPr>
        <w:t>Technologie</w:t>
      </w:r>
      <w:r w:rsidR="00D55316">
        <w:rPr>
          <w:b w:val="0"/>
        </w:rPr>
        <w:t xml:space="preserve"> kann </w:t>
      </w:r>
      <w:r w:rsidRPr="00C51A52">
        <w:rPr>
          <w:b w:val="0"/>
        </w:rPr>
        <w:t>den Anteil von recycelten Materialien im Endprodukt weiter</w:t>
      </w:r>
      <w:r w:rsidR="00D55316">
        <w:rPr>
          <w:b w:val="0"/>
        </w:rPr>
        <w:t xml:space="preserve"> </w:t>
      </w:r>
      <w:r w:rsidRPr="00C51A52">
        <w:rPr>
          <w:b w:val="0"/>
        </w:rPr>
        <w:t>erhöhen</w:t>
      </w:r>
      <w:r w:rsidR="00D55316">
        <w:rPr>
          <w:b w:val="0"/>
        </w:rPr>
        <w:t xml:space="preserve"> und gleichzeitig die</w:t>
      </w:r>
      <w:r w:rsidRPr="00C51A52">
        <w:rPr>
          <w:b w:val="0"/>
        </w:rPr>
        <w:t xml:space="preserve"> Emissionen, die bei der Herstellung von Mischgütern entstehen, </w:t>
      </w:r>
      <w:r w:rsidR="00D55316">
        <w:rPr>
          <w:b w:val="0"/>
        </w:rPr>
        <w:t>senken</w:t>
      </w:r>
      <w:r w:rsidRPr="00C51A52">
        <w:rPr>
          <w:b w:val="0"/>
        </w:rPr>
        <w:t>.</w:t>
      </w:r>
      <w:r w:rsidR="007C2FEE" w:rsidRPr="00C51A52">
        <w:rPr>
          <w:b w:val="0"/>
        </w:rPr>
        <w:t xml:space="preserve"> </w:t>
      </w:r>
    </w:p>
    <w:p w14:paraId="4EE6133A" w14:textId="166AF4A0" w:rsidR="00DC1544" w:rsidRPr="00C51A52" w:rsidRDefault="002D1259" w:rsidP="002D1259">
      <w:pPr>
        <w:pStyle w:val="Standardabsatz"/>
      </w:pPr>
      <w:r w:rsidRPr="00C51A52">
        <w:lastRenderedPageBreak/>
        <w:t>Durch die neue Steuerung BLS4 ist die Anlage für die Mitarbeiter übersichtlicher und einfacher zu bedienen.</w:t>
      </w:r>
      <w:r w:rsidR="0089073A">
        <w:t xml:space="preserve"> Zusätzlich </w:t>
      </w:r>
      <w:r w:rsidR="00D55316">
        <w:t>wurden die Lagerkapazitäten der</w:t>
      </w:r>
      <w:r w:rsidR="0089073A">
        <w:t xml:space="preserve"> Anlage </w:t>
      </w:r>
      <w:r w:rsidR="00D55316">
        <w:t xml:space="preserve">erweitert. </w:t>
      </w:r>
      <w:r w:rsidRPr="00C51A52">
        <w:t xml:space="preserve">Für größere </w:t>
      </w:r>
      <w:proofErr w:type="spellStart"/>
      <w:r w:rsidRPr="00C51A52">
        <w:t>Einspeicherkapazitäten</w:t>
      </w:r>
      <w:proofErr w:type="spellEnd"/>
      <w:r w:rsidRPr="00C51A52">
        <w:t xml:space="preserve"> und Sortenvielfalt an Fertigasphalt sowie die Bevorratung von Gussasphalt stehen jetzt acht Taschen zur Verfügung.</w:t>
      </w:r>
    </w:p>
    <w:p w14:paraId="33921D31" w14:textId="77777777" w:rsidR="002D1259" w:rsidRPr="00C51A52" w:rsidRDefault="002D1259" w:rsidP="002D1259">
      <w:pPr>
        <w:pStyle w:val="Teaserhead"/>
      </w:pPr>
      <w:r w:rsidRPr="00C51A52">
        <w:t>Strategischer Standort bietet logistische Vorteile</w:t>
      </w:r>
    </w:p>
    <w:p w14:paraId="6F844706" w14:textId="0C1709EA" w:rsidR="002D1259" w:rsidRPr="00C51A52" w:rsidRDefault="002D1259" w:rsidP="002D1259">
      <w:pPr>
        <w:pStyle w:val="Standardabsatz"/>
      </w:pPr>
      <w:r w:rsidRPr="00C51A52">
        <w:t xml:space="preserve">Der Standort der neu gesetzten Anlage </w:t>
      </w:r>
      <w:r w:rsidR="00D55316">
        <w:t>liegt</w:t>
      </w:r>
      <w:r w:rsidRPr="00C51A52">
        <w:t xml:space="preserve"> am südlichen Ausläufer des Bodensees, im Vierländereck in unmittelbarer Nähe zu Deutschland, der Schweiz und Liechtenstein. Mischgüter können so schnell über Grenzen hinweg geliefert werden. Mehrere Länder bedeuten unterschiedliche Anforderungen an das Mischgut bzw. eine erhöhte Rezeptvielfalt, </w:t>
      </w:r>
      <w:r w:rsidR="00627D9D">
        <w:t>die mit der</w:t>
      </w:r>
      <w:r w:rsidRPr="00C51A52">
        <w:t xml:space="preserve"> </w:t>
      </w:r>
      <w:r w:rsidR="0089073A">
        <w:t>modernisierten</w:t>
      </w:r>
      <w:r w:rsidRPr="00C51A52">
        <w:t xml:space="preserve"> Anlage </w:t>
      </w:r>
      <w:r w:rsidR="00627D9D">
        <w:t xml:space="preserve">flexibel </w:t>
      </w:r>
      <w:r w:rsidRPr="00C51A52">
        <w:t xml:space="preserve">bedient werden </w:t>
      </w:r>
      <w:r w:rsidR="00627D9D">
        <w:t>können</w:t>
      </w:r>
      <w:r w:rsidRPr="00C51A52">
        <w:t xml:space="preserve">. </w:t>
      </w:r>
    </w:p>
    <w:p w14:paraId="069D346A" w14:textId="05C875B4" w:rsidR="002D1259" w:rsidRPr="00C51A52" w:rsidRDefault="0089073A" w:rsidP="002D1259">
      <w:pPr>
        <w:pStyle w:val="Teaserhead"/>
      </w:pPr>
      <w:r>
        <w:t>Retrofit als kompetente Lösung</w:t>
      </w:r>
    </w:p>
    <w:p w14:paraId="47FD3ABE" w14:textId="702F6149" w:rsidR="002D1259" w:rsidRPr="00C51A52" w:rsidRDefault="005B0F7A" w:rsidP="002D1259">
      <w:pPr>
        <w:pStyle w:val="Standardabsatz"/>
      </w:pPr>
      <w:r>
        <w:t xml:space="preserve">Asphaltmischanlagenspezialist </w:t>
      </w:r>
      <w:r w:rsidR="0089073A">
        <w:t>Benninghoven konstruiert d</w:t>
      </w:r>
      <w:r w:rsidR="002D1259" w:rsidRPr="00C51A52">
        <w:t xml:space="preserve">ie transportablen </w:t>
      </w:r>
      <w:r>
        <w:t>A</w:t>
      </w:r>
      <w:r w:rsidRPr="00C51A52">
        <w:t xml:space="preserve">nlagen </w:t>
      </w:r>
      <w:r w:rsidR="002D1259" w:rsidRPr="00C51A52">
        <w:t xml:space="preserve">nicht nur </w:t>
      </w:r>
      <w:r w:rsidR="0089073A">
        <w:t xml:space="preserve">um sie </w:t>
      </w:r>
      <w:r w:rsidR="002D1259" w:rsidRPr="00C51A52">
        <w:t>von einem Standort zum nächsten versetzen</w:t>
      </w:r>
      <w:r w:rsidR="0089073A">
        <w:t xml:space="preserve"> zu</w:t>
      </w:r>
      <w:r w:rsidR="002D1259" w:rsidRPr="00C51A52">
        <w:t xml:space="preserve"> können</w:t>
      </w:r>
      <w:r w:rsidR="00627D9D">
        <w:t>.</w:t>
      </w:r>
      <w:r w:rsidR="0089073A">
        <w:t xml:space="preserve"> Durch d</w:t>
      </w:r>
      <w:r w:rsidR="002D1259" w:rsidRPr="00C51A52">
        <w:t xml:space="preserve">ie modulare Bauweise </w:t>
      </w:r>
      <w:r w:rsidR="002072B2">
        <w:t xml:space="preserve">sind </w:t>
      </w:r>
      <w:r w:rsidR="002D1259" w:rsidRPr="00C51A52">
        <w:t xml:space="preserve">bestehende Anlagen </w:t>
      </w:r>
      <w:r w:rsidR="002072B2">
        <w:t xml:space="preserve">vor allem auch </w:t>
      </w:r>
      <w:r w:rsidR="002D1259" w:rsidRPr="00C51A52">
        <w:t xml:space="preserve">nach dem neusten Stand der Technik </w:t>
      </w:r>
      <w:r w:rsidR="002072B2">
        <w:t>einfach nachrüstbar</w:t>
      </w:r>
      <w:r w:rsidR="002D1259" w:rsidRPr="00C51A52">
        <w:t>.</w:t>
      </w:r>
      <w:r w:rsidR="005C05C9">
        <w:t xml:space="preserve"> Für Kunden wie Hilti &amp; Jehle liegt der Fokus auf der langjährigen Zusammenarbeit mit Blick auf Effizienz, Nachhaltigkeit und Zukunftssicherheit. </w:t>
      </w:r>
      <w:r w:rsidR="002D1259" w:rsidRPr="00C51A52">
        <w:t>Ein so komplexes Projekt wie in Österreich funktioniert nur mit einem starken Team. Das Definieren von Schnittstellen, das Verstehen und Berücksichtigen von Verfahrenstechnik und das Einbinden in die Steuerung – es ist viel mehr als der Tausch von Stahl.</w:t>
      </w:r>
    </w:p>
    <w:p w14:paraId="21E5DC1F" w14:textId="0A3A5BD2" w:rsidR="002D1259" w:rsidRPr="00C51A52" w:rsidRDefault="002D1259" w:rsidP="002D1259">
      <w:pPr>
        <w:pStyle w:val="Standardabsatz"/>
      </w:pPr>
    </w:p>
    <w:p w14:paraId="0A9BB9D2" w14:textId="633FE44A" w:rsidR="0017102C" w:rsidRDefault="0017102C">
      <w:pPr>
        <w:rPr>
          <w:rFonts w:eastAsiaTheme="minorHAnsi" w:cstheme="minorBidi"/>
          <w:sz w:val="22"/>
          <w:szCs w:val="24"/>
        </w:rPr>
      </w:pPr>
      <w:r>
        <w:br w:type="page"/>
      </w:r>
    </w:p>
    <w:p w14:paraId="64ABBB85" w14:textId="024AAF51" w:rsidR="007C2FEE" w:rsidRPr="00C51A52" w:rsidRDefault="007C2FEE" w:rsidP="00BC487A">
      <w:pPr>
        <w:rPr>
          <w:b/>
          <w:bCs/>
          <w:sz w:val="22"/>
          <w:szCs w:val="22"/>
        </w:rPr>
      </w:pPr>
      <w:r w:rsidRPr="00C51A52">
        <w:rPr>
          <w:b/>
          <w:bCs/>
          <w:sz w:val="22"/>
          <w:szCs w:val="22"/>
        </w:rPr>
        <w:lastRenderedPageBreak/>
        <w:t>Fotos:</w:t>
      </w:r>
    </w:p>
    <w:p w14:paraId="06345839" w14:textId="77777777" w:rsidR="00BC487A" w:rsidRPr="00C51A52" w:rsidRDefault="00BC487A" w:rsidP="00BC487A">
      <w:pPr>
        <w:rPr>
          <w:rFonts w:eastAsiaTheme="minorHAnsi" w:cstheme="minorBidi"/>
          <w:b/>
          <w:sz w:val="22"/>
          <w:szCs w:val="24"/>
        </w:rPr>
      </w:pPr>
    </w:p>
    <w:p w14:paraId="5BFBF390" w14:textId="5EA522F2" w:rsidR="007C2FEE" w:rsidRPr="00C51A52" w:rsidRDefault="002D1259" w:rsidP="00BA7BC5">
      <w:pPr>
        <w:pStyle w:val="BUbold"/>
        <w:rPr>
          <w:b w:val="0"/>
          <w:bCs/>
        </w:rPr>
      </w:pPr>
      <w:r w:rsidRPr="00C51A52">
        <w:rPr>
          <w:noProof/>
        </w:rPr>
        <w:drawing>
          <wp:inline distT="0" distB="0" distL="0" distR="0" wp14:anchorId="71A5B8EF" wp14:editId="332AD203">
            <wp:extent cx="2880000" cy="1619320"/>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0000" cy="1619320"/>
                    </a:xfrm>
                    <a:prstGeom prst="rect">
                      <a:avLst/>
                    </a:prstGeom>
                    <a:noFill/>
                    <a:ln>
                      <a:noFill/>
                    </a:ln>
                  </pic:spPr>
                </pic:pic>
              </a:graphicData>
            </a:graphic>
          </wp:inline>
        </w:drawing>
      </w:r>
      <w:r w:rsidR="00BA7BC5" w:rsidRPr="00C51A52">
        <w:br/>
      </w:r>
      <w:r w:rsidR="00B95ADB" w:rsidRPr="00B95ADB">
        <w:t>B_pic_Retrofit_TBA_Hilti_Jehle_1223_0003a</w:t>
      </w:r>
      <w:r w:rsidR="00BA7BC5" w:rsidRPr="00B95ADB">
        <w:br/>
      </w:r>
      <w:r w:rsidR="005B0F7A">
        <w:rPr>
          <w:b w:val="0"/>
          <w:bCs/>
        </w:rPr>
        <w:t xml:space="preserve">Die Benninghoven </w:t>
      </w:r>
      <w:r w:rsidRPr="00C51A52">
        <w:rPr>
          <w:b w:val="0"/>
          <w:bCs/>
        </w:rPr>
        <w:t xml:space="preserve">Anlage in Nenzing </w:t>
      </w:r>
      <w:r w:rsidR="005B0F7A">
        <w:rPr>
          <w:b w:val="0"/>
          <w:bCs/>
        </w:rPr>
        <w:t>wurde</w:t>
      </w:r>
      <w:r w:rsidRPr="00C51A52">
        <w:rPr>
          <w:b w:val="0"/>
          <w:bCs/>
        </w:rPr>
        <w:t xml:space="preserve"> demontiert und in Götzis </w:t>
      </w:r>
      <w:r w:rsidR="005B0F7A">
        <w:rPr>
          <w:b w:val="0"/>
          <w:bCs/>
        </w:rPr>
        <w:t xml:space="preserve">durch </w:t>
      </w:r>
      <w:r w:rsidRPr="00C51A52">
        <w:rPr>
          <w:b w:val="0"/>
          <w:bCs/>
        </w:rPr>
        <w:t>neue Komponenten</w:t>
      </w:r>
      <w:r w:rsidR="005B0F7A">
        <w:rPr>
          <w:b w:val="0"/>
          <w:bCs/>
        </w:rPr>
        <w:t xml:space="preserve"> ergänzt und </w:t>
      </w:r>
      <w:r w:rsidR="005B0F7A" w:rsidRPr="00C51A52">
        <w:rPr>
          <w:b w:val="0"/>
          <w:bCs/>
        </w:rPr>
        <w:t>wieder aufgebaut</w:t>
      </w:r>
      <w:r w:rsidRPr="00C51A52">
        <w:rPr>
          <w:b w:val="0"/>
          <w:bCs/>
        </w:rPr>
        <w:t>.</w:t>
      </w:r>
      <w:r w:rsidR="007C2FEE" w:rsidRPr="00C51A52">
        <w:rPr>
          <w:b w:val="0"/>
          <w:bCs/>
        </w:rPr>
        <w:t xml:space="preserve"> </w:t>
      </w:r>
    </w:p>
    <w:p w14:paraId="10AF8B22" w14:textId="77777777" w:rsidR="000D357E" w:rsidRPr="00C51A52" w:rsidRDefault="000D357E" w:rsidP="000D357E">
      <w:pPr>
        <w:pStyle w:val="BUnormal"/>
      </w:pPr>
    </w:p>
    <w:p w14:paraId="64BE1C2F" w14:textId="6DE4727F" w:rsidR="003229B2" w:rsidRPr="00C51A52" w:rsidRDefault="003229B2" w:rsidP="003229B2">
      <w:pPr>
        <w:pStyle w:val="BUbold"/>
      </w:pPr>
      <w:r w:rsidRPr="00C51A52">
        <w:rPr>
          <w:noProof/>
        </w:rPr>
        <w:drawing>
          <wp:inline distT="0" distB="0" distL="0" distR="0" wp14:anchorId="3C1348B3" wp14:editId="37B84EE5">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sidRPr="00C51A52">
        <w:rPr>
          <w:i/>
          <w:iCs/>
        </w:rPr>
        <w:br/>
      </w:r>
      <w:r w:rsidR="00B95ADB" w:rsidRPr="00B95ADB">
        <w:t>B_pic_Retrofit_TBA_Hilti_Jehle_1223_0006a</w:t>
      </w:r>
    </w:p>
    <w:p w14:paraId="7442C1D4" w14:textId="020F338F" w:rsidR="003229B2" w:rsidRPr="00C51A52" w:rsidRDefault="003229B2" w:rsidP="003229B2">
      <w:pPr>
        <w:pStyle w:val="BUnormal"/>
      </w:pPr>
      <w:r w:rsidRPr="00C51A52">
        <w:t>Das Herzstück</w:t>
      </w:r>
      <w:r w:rsidR="005B0F7A">
        <w:t xml:space="preserve"> der TBA in Götzis ist </w:t>
      </w:r>
      <w:r w:rsidRPr="00C51A52">
        <w:t>die neue Wiegemischsektion (Retrofit)</w:t>
      </w:r>
      <w:r w:rsidR="005B0F7A">
        <w:t>. Sie wurde</w:t>
      </w:r>
      <w:r w:rsidRPr="00C51A52">
        <w:t xml:space="preserve"> parallel aus dem </w:t>
      </w:r>
      <w:r w:rsidR="005B0F7A">
        <w:t xml:space="preserve">Benninghoven </w:t>
      </w:r>
      <w:r w:rsidRPr="00C51A52">
        <w:t>Werk in Wittlich angeliefert.</w:t>
      </w:r>
    </w:p>
    <w:p w14:paraId="09B4AE43" w14:textId="237D0C8B" w:rsidR="003229B2" w:rsidRPr="00C51A52" w:rsidRDefault="003229B2" w:rsidP="003229B2">
      <w:pPr>
        <w:pStyle w:val="Standardabsatz"/>
      </w:pPr>
    </w:p>
    <w:p w14:paraId="136DA710" w14:textId="700972DC" w:rsidR="003229B2" w:rsidRPr="00C51A52" w:rsidRDefault="003229B2" w:rsidP="003229B2">
      <w:pPr>
        <w:pStyle w:val="Standardabsatz"/>
        <w:spacing w:after="0"/>
        <w:rPr>
          <w:b/>
          <w:sz w:val="20"/>
        </w:rPr>
      </w:pPr>
      <w:r w:rsidRPr="00C51A52">
        <w:rPr>
          <w:noProof/>
        </w:rPr>
        <w:drawing>
          <wp:inline distT="0" distB="0" distL="0" distR="0" wp14:anchorId="0871B5CC" wp14:editId="41254732">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sidRPr="00C51A52">
        <w:br/>
      </w:r>
      <w:r w:rsidR="00B95ADB" w:rsidRPr="00B95ADB">
        <w:rPr>
          <w:b/>
          <w:sz w:val="20"/>
        </w:rPr>
        <w:t>B_pic_Retrofit_TBA_Hilti_Jehle_1223_0010</w:t>
      </w:r>
    </w:p>
    <w:p w14:paraId="6763C918" w14:textId="6827EFFD" w:rsidR="003229B2" w:rsidRPr="00C51A52" w:rsidRDefault="003229B2" w:rsidP="003229B2">
      <w:pPr>
        <w:pStyle w:val="BUnormal"/>
      </w:pPr>
      <w:r w:rsidRPr="00C51A52">
        <w:t xml:space="preserve">Die Bitumentanks aus Nenzing </w:t>
      </w:r>
      <w:r w:rsidR="005B0F7A" w:rsidRPr="00C51A52">
        <w:t>w</w:t>
      </w:r>
      <w:r w:rsidR="005B0F7A">
        <w:t>u</w:t>
      </w:r>
      <w:r w:rsidR="005B0F7A" w:rsidRPr="00C51A52">
        <w:t xml:space="preserve">rden </w:t>
      </w:r>
      <w:r w:rsidRPr="00C51A52">
        <w:t xml:space="preserve">neben den bestehenden Bitumentanks positioniert und montiert. </w:t>
      </w:r>
      <w:r w:rsidR="005B0F7A">
        <w:t>Auch d</w:t>
      </w:r>
      <w:r w:rsidR="005B0F7A" w:rsidRPr="00C51A52">
        <w:t xml:space="preserve">er </w:t>
      </w:r>
      <w:r w:rsidRPr="00C51A52">
        <w:t>Turm bis zur Kübelbahn steht jetzt in Götzis.</w:t>
      </w:r>
    </w:p>
    <w:p w14:paraId="2E8E4EC8" w14:textId="77777777" w:rsidR="002D1259" w:rsidRPr="00C51A52" w:rsidRDefault="002D1259" w:rsidP="002D1259">
      <w:pPr>
        <w:pStyle w:val="Standardabsatz"/>
      </w:pPr>
    </w:p>
    <w:p w14:paraId="67E83AFA" w14:textId="4AD8B1C9" w:rsidR="00980313" w:rsidRDefault="00714D6B" w:rsidP="00A96B2E">
      <w:pPr>
        <w:pStyle w:val="Note"/>
        <w:rPr>
          <w:lang w:eastAsia="de-DE"/>
        </w:rPr>
      </w:pPr>
      <w:r w:rsidRPr="00C51A52">
        <w:rPr>
          <w:lang w:eastAsia="de-DE"/>
        </w:rPr>
        <w:t xml:space="preserve">Hinweis: Diese Fotos dienen lediglich der Voransicht. Für den </w:t>
      </w:r>
      <w:r w:rsidRPr="00C51A52">
        <w:t>Abdruck</w:t>
      </w:r>
      <w:r w:rsidRPr="00C51A52">
        <w:rPr>
          <w:lang w:eastAsia="de-DE"/>
        </w:rPr>
        <w:t xml:space="preserve"> in den Publikationen nutzen Sie bitte die Fotos in 300 dpi-Auflösung, die in beigefügtem Download zur Verfügung stehen.</w:t>
      </w:r>
    </w:p>
    <w:p w14:paraId="76294302" w14:textId="27FC9F83" w:rsidR="0017102C" w:rsidRDefault="0017102C" w:rsidP="0017102C">
      <w:pPr>
        <w:pStyle w:val="Standardabsatz"/>
        <w:rPr>
          <w:lang w:eastAsia="de-DE"/>
        </w:rPr>
      </w:pPr>
    </w:p>
    <w:p w14:paraId="21801AC4" w14:textId="77777777" w:rsidR="0017102C" w:rsidRPr="0017102C" w:rsidRDefault="0017102C" w:rsidP="0017102C">
      <w:pPr>
        <w:pStyle w:val="Standardabsatz"/>
        <w:rPr>
          <w:lang w:eastAsia="de-DE"/>
        </w:rPr>
      </w:pPr>
    </w:p>
    <w:p w14:paraId="717825D0" w14:textId="4B1B0DAB" w:rsidR="00B409DF" w:rsidRDefault="00B409DF" w:rsidP="00B409DF">
      <w:pPr>
        <w:pStyle w:val="Absatzberschrift"/>
        <w:rPr>
          <w:iCs/>
        </w:rPr>
      </w:pPr>
      <w:r>
        <w:rPr>
          <w:iCs/>
        </w:rPr>
        <w:t>Weitere Informationen erhalten Sie bei:</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sidRPr="002B783A">
        <w:rPr>
          <w:b w:val="0"/>
          <w:bCs/>
        </w:rPr>
        <w:t>WIRTGEN GROUP</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Deutschland</w:t>
      </w:r>
    </w:p>
    <w:p w14:paraId="2DFD9654" w14:textId="77777777" w:rsidR="00B409DF" w:rsidRDefault="00B409DF" w:rsidP="00B409DF">
      <w:pPr>
        <w:pStyle w:val="Fuzeile1"/>
      </w:pPr>
    </w:p>
    <w:p w14:paraId="747CCDAF" w14:textId="738155A8" w:rsidR="00B409DF" w:rsidRPr="00914C7E" w:rsidRDefault="00B409DF" w:rsidP="00B409DF">
      <w:pPr>
        <w:pStyle w:val="Fuzeile1"/>
        <w:rPr>
          <w:rFonts w:ascii="Times New Roman" w:hAnsi="Times New Roman" w:cs="Times New Roman"/>
        </w:rPr>
      </w:pPr>
      <w:r>
        <w:t xml:space="preserve">Telefon: </w:t>
      </w:r>
      <w:r w:rsidR="003662E4">
        <w:tab/>
      </w:r>
      <w:r>
        <w:t xml:space="preserve">+49 (0) 2645 131 – </w:t>
      </w:r>
      <w:r w:rsidRPr="00914C7E">
        <w:t>1966</w:t>
      </w:r>
    </w:p>
    <w:p w14:paraId="72EBA31D" w14:textId="43BFF2F6" w:rsidR="00B409DF" w:rsidRPr="00914C7E" w:rsidRDefault="00B409DF" w:rsidP="00B409DF">
      <w:pPr>
        <w:pStyle w:val="Fuzeile1"/>
      </w:pPr>
      <w:r w:rsidRPr="00914C7E">
        <w:t xml:space="preserve">Telefax: </w:t>
      </w:r>
      <w:r w:rsidR="003662E4">
        <w:tab/>
      </w:r>
      <w:r w:rsidRPr="00914C7E">
        <w:t>+49 (0) 2645 131 – 499</w:t>
      </w:r>
    </w:p>
    <w:p w14:paraId="54DD8925" w14:textId="35D8949F" w:rsidR="00B409DF" w:rsidRDefault="00B409DF" w:rsidP="00B409DF">
      <w:pPr>
        <w:pStyle w:val="Fuzeile1"/>
      </w:pPr>
      <w:r>
        <w:t xml:space="preserve">E-Mail: </w:t>
      </w:r>
      <w:r w:rsidR="003662E4">
        <w:tab/>
      </w:r>
      <w:r w:rsidR="00980313">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en-US"/>
        </w:rPr>
      </w:pPr>
      <w:r w:rsidRPr="00114A31">
        <w:rPr>
          <w:lang w:val="en-US"/>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179BBC00" w:rsidR="00F048D4" w:rsidRPr="00F74540" w:rsidRDefault="00F048D4" w:rsidP="00F74540">
      <w:pPr>
        <w:pStyle w:val="Fuzeile1"/>
      </w:pPr>
    </w:p>
    <w:sectPr w:rsidR="00F048D4" w:rsidRPr="00F74540"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sidRPr="00723F4F">
            <w:rPr>
              <w:rStyle w:val="MittleresRaster11"/>
              <w:szCs w:val="20"/>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noProof/>
        <w:lang w:eastAsia="zh-CN"/>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732BEB33" w14:textId="77777777" w:rsidR="00533132" w:rsidRDefault="00BD5391">
    <w:pPr>
      <w:pStyle w:val="Fuzeile"/>
    </w:pPr>
    <w:r>
      <w:rPr>
        <w:noProof/>
        <w:lang w:eastAsia="zh-CN"/>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sidRPr="00615CDA">
                            <w:rPr>
                              <w:rFonts w:ascii="Calibri" w:eastAsia="Calibri" w:hAnsi="Calibri" w:cs="Calibri"/>
                              <w:noProof/>
                              <w:color w:val="FF0000"/>
                              <w:sz w:val="20"/>
                              <w:szCs w:val="20"/>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xmlns:w16du="http://schemas.microsoft.com/office/word/2023/wordml/word16du" xmlns:w16sdtfl="http://schemas.microsoft.com/office/word/2024/wordml/sdtformatlock">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pPr>
                    <w:r w:rsidRPr="00615CDA">
                      <w:rPr>
                        <w:rFonts w:ascii="Calibri" w:eastAsia="Calibri" w:hAnsi="Calibri" w:cs="Calibri"/>
                        <w:noProof/>
                        <w:color w:val="FF0000"/>
                        <w:sz w:val="20"/>
                        <w:szCs w:val="20"/>
                      </w:rPr>
                      <w:t>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726EA0FF" w:rsidR="00615CDA" w:rsidRPr="00615CDA" w:rsidRDefault="00DC1544">
                          <w:pPr>
                            <w:rPr>
                              <w:rFonts w:ascii="Calibri" w:eastAsia="Calibri" w:hAnsi="Calibri" w:cs="Calibri"/>
                              <w:noProof/>
                              <w:color w:val="FF0000"/>
                              <w:sz w:val="20"/>
                              <w:szCs w:val="20"/>
                            </w:rPr>
                          </w:pPr>
                          <w:r>
                            <w:rPr>
                              <w:rFonts w:ascii="Calibri" w:eastAsia="Calibri" w:hAnsi="Calibri" w:cs="Calibri"/>
                              <w:noProof/>
                              <w:color w:val="FF0000"/>
                              <w:sz w:val="20"/>
                              <w:szCs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xmlns:w16du="http://schemas.microsoft.com/office/word/2023/wordml/word16du" xmlns:w16sdtfl="http://schemas.microsoft.com/office/word/2024/wordml/sdtformatlock">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726EA0FF" w:rsidR="00615CDA" w:rsidRPr="00615CDA" w:rsidRDefault="00DC1544">
                    <w:pPr>
                      <w:rPr>
                        <w:rFonts w:ascii="Calibri" w:eastAsia="Calibri" w:hAnsi="Calibri" w:cs="Calibri"/>
                        <w:noProof/>
                        <w:color w:val="FF0000"/>
                        <w:sz w:val="20"/>
                        <w:szCs w:val="20"/>
                      </w:rPr>
                    </w:pPr>
                    <w:r>
                      <w:rPr>
                        <w:rFonts w:ascii="Calibri" w:eastAsia="Calibri" w:hAnsi="Calibri" w:cs="Calibri"/>
                        <w:noProof/>
                        <w:color w:val="FF0000"/>
                        <w:sz w:val="20"/>
                        <w:szCs w:val="20"/>
                      </w:rPr>
                      <w:t>Public</w:t>
                    </w:r>
                  </w:p>
                </w:txbxContent>
              </v:textbox>
              <w10:wrap type="square" anchorx="margin"/>
            </v:shape>
          </w:pict>
        </mc:Fallback>
      </mc:AlternateContent>
    </w:r>
    <w:r w:rsidR="000278CB" w:rsidRPr="000278CB">
      <w:rPr>
        <w:noProof/>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eastAsia="zh-CN"/>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sidRPr="00615CDA">
                            <w:rPr>
                              <w:rFonts w:ascii="Calibri" w:eastAsia="Calibri" w:hAnsi="Calibri" w:cs="Calibri"/>
                              <w:noProof/>
                              <w:color w:val="FF0000"/>
                              <w:sz w:val="20"/>
                              <w:szCs w:val="20"/>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xmlns:w16du="http://schemas.microsoft.com/office/word/2023/wordml/word16du" xmlns:w16sdtfl="http://schemas.microsoft.com/office/word/2024/wordml/sdtformatlock">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pPr>
                    <w:r w:rsidRPr="00615CDA">
                      <w:rPr>
                        <w:rFonts w:ascii="Calibri" w:eastAsia="Calibri" w:hAnsi="Calibri" w:cs="Calibri"/>
                        <w:noProof/>
                        <w:color w:val="FF0000"/>
                        <w:sz w:val="20"/>
                        <w:szCs w:val="20"/>
                      </w:rPr>
                      <w:t>Company Use</w:t>
                    </w:r>
                  </w:p>
                </w:txbxContent>
              </v:textbox>
              <w10:wrap type="square" anchorx="margin"/>
            </v:shape>
          </w:pict>
        </mc:Fallback>
      </mc:AlternateContent>
    </w:r>
    <w:r w:rsidR="00BD5391">
      <w:rPr>
        <w:noProof/>
        <w:lang w:eastAsia="zh-CN"/>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xmlns:w16sdtfl="http://schemas.microsoft.com/office/word/2024/wordml/sdtformatlock">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sidR="00BD5391">
      <w:rPr>
        <w:noProof/>
        <w:lang w:eastAsia="zh-C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5391">
      <w:rPr>
        <w:noProof/>
        <w:lang w:eastAsia="zh-C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31418681" o:spid="_x0000_i1026" type="#_x0000_t75" style="width:1500pt;height:1500pt;visibility:visible;mso-wrap-style:square" o:bullet="t">
        <v:imagedata r:id="rId1" o:title=""/>
      </v:shape>
    </w:pict>
  </w:numPicBullet>
  <w:numPicBullet w:numPicBulletId="1">
    <w:pict>
      <v:shape id="Grafik 655076354" o:spid="_x0000_i1027" type="#_x0000_t75" style="width:7.5pt;height:7.5pt;visibility:visible;mso-wrap-style:square" o:bullet="t">
        <v:imagedata r:id="rId2" o:title=""/>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9580209"/>
    <w:multiLevelType w:val="hybridMultilevel"/>
    <w:tmpl w:val="65AE3E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9"/>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0"/>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12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81B05"/>
    <w:rsid w:val="0009665C"/>
    <w:rsid w:val="000A0479"/>
    <w:rsid w:val="000A0871"/>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400E8"/>
    <w:rsid w:val="00143885"/>
    <w:rsid w:val="00146C3D"/>
    <w:rsid w:val="00153B47"/>
    <w:rsid w:val="001613A6"/>
    <w:rsid w:val="001614F0"/>
    <w:rsid w:val="001616F4"/>
    <w:rsid w:val="0017102C"/>
    <w:rsid w:val="0018021A"/>
    <w:rsid w:val="00182D69"/>
    <w:rsid w:val="00193CE0"/>
    <w:rsid w:val="00194FB1"/>
    <w:rsid w:val="001B16BB"/>
    <w:rsid w:val="001B34EE"/>
    <w:rsid w:val="001C1A3E"/>
    <w:rsid w:val="001F359E"/>
    <w:rsid w:val="001F38A1"/>
    <w:rsid w:val="00200355"/>
    <w:rsid w:val="002072B2"/>
    <w:rsid w:val="0021351D"/>
    <w:rsid w:val="00253A2E"/>
    <w:rsid w:val="002603EC"/>
    <w:rsid w:val="00282AFC"/>
    <w:rsid w:val="00286C15"/>
    <w:rsid w:val="0029634D"/>
    <w:rsid w:val="002B4CE2"/>
    <w:rsid w:val="002C6F4F"/>
    <w:rsid w:val="002C7542"/>
    <w:rsid w:val="002D065C"/>
    <w:rsid w:val="002D0780"/>
    <w:rsid w:val="002D1259"/>
    <w:rsid w:val="002D2EE5"/>
    <w:rsid w:val="002D63E6"/>
    <w:rsid w:val="002E619D"/>
    <w:rsid w:val="002E6AC6"/>
    <w:rsid w:val="002E765F"/>
    <w:rsid w:val="002E7E4E"/>
    <w:rsid w:val="002F108B"/>
    <w:rsid w:val="002F5818"/>
    <w:rsid w:val="002F70FD"/>
    <w:rsid w:val="002F7E0B"/>
    <w:rsid w:val="0030316D"/>
    <w:rsid w:val="003133D6"/>
    <w:rsid w:val="003229B2"/>
    <w:rsid w:val="0032774C"/>
    <w:rsid w:val="00332D28"/>
    <w:rsid w:val="00340E41"/>
    <w:rsid w:val="0034191A"/>
    <w:rsid w:val="00343CC7"/>
    <w:rsid w:val="0034664B"/>
    <w:rsid w:val="0036561D"/>
    <w:rsid w:val="003662E4"/>
    <w:rsid w:val="003665BE"/>
    <w:rsid w:val="00384A08"/>
    <w:rsid w:val="003850A9"/>
    <w:rsid w:val="003967E5"/>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0BB0"/>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2B78"/>
    <w:rsid w:val="005A4F04"/>
    <w:rsid w:val="005B0F7A"/>
    <w:rsid w:val="005B45F7"/>
    <w:rsid w:val="005B5793"/>
    <w:rsid w:val="005C05C9"/>
    <w:rsid w:val="005C6B30"/>
    <w:rsid w:val="005C71EC"/>
    <w:rsid w:val="005D7B09"/>
    <w:rsid w:val="005E764C"/>
    <w:rsid w:val="005F16C3"/>
    <w:rsid w:val="006063D4"/>
    <w:rsid w:val="00612D6C"/>
    <w:rsid w:val="00615CDA"/>
    <w:rsid w:val="00623B37"/>
    <w:rsid w:val="00627D9D"/>
    <w:rsid w:val="006330A2"/>
    <w:rsid w:val="00642EB6"/>
    <w:rsid w:val="006433E2"/>
    <w:rsid w:val="00651E5D"/>
    <w:rsid w:val="00677F11"/>
    <w:rsid w:val="00682B1A"/>
    <w:rsid w:val="00690D7C"/>
    <w:rsid w:val="00690DFE"/>
    <w:rsid w:val="00691678"/>
    <w:rsid w:val="006B3EEC"/>
    <w:rsid w:val="006C0C87"/>
    <w:rsid w:val="006D7EAC"/>
    <w:rsid w:val="006E0104"/>
    <w:rsid w:val="006F7602"/>
    <w:rsid w:val="0070426C"/>
    <w:rsid w:val="007100BC"/>
    <w:rsid w:val="00714D6B"/>
    <w:rsid w:val="00722A17"/>
    <w:rsid w:val="00723F4F"/>
    <w:rsid w:val="00752AFE"/>
    <w:rsid w:val="00755AE0"/>
    <w:rsid w:val="0075761B"/>
    <w:rsid w:val="00757B83"/>
    <w:rsid w:val="00761D67"/>
    <w:rsid w:val="00774358"/>
    <w:rsid w:val="00781CEC"/>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07BF0"/>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073A"/>
    <w:rsid w:val="00892F6F"/>
    <w:rsid w:val="00896F7E"/>
    <w:rsid w:val="008A3E9C"/>
    <w:rsid w:val="008B1EB7"/>
    <w:rsid w:val="008C2A29"/>
    <w:rsid w:val="008C2DB2"/>
    <w:rsid w:val="008D26D8"/>
    <w:rsid w:val="008D770E"/>
    <w:rsid w:val="008F7BB7"/>
    <w:rsid w:val="0090337E"/>
    <w:rsid w:val="009049D8"/>
    <w:rsid w:val="00910609"/>
    <w:rsid w:val="009125E2"/>
    <w:rsid w:val="00914C7E"/>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1630"/>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46F1E"/>
    <w:rsid w:val="00A82395"/>
    <w:rsid w:val="00A9389A"/>
    <w:rsid w:val="00A96B2E"/>
    <w:rsid w:val="00A977CE"/>
    <w:rsid w:val="00AA6678"/>
    <w:rsid w:val="00AB52F9"/>
    <w:rsid w:val="00AC3138"/>
    <w:rsid w:val="00AC6F42"/>
    <w:rsid w:val="00AD131F"/>
    <w:rsid w:val="00AD32D5"/>
    <w:rsid w:val="00AD70E4"/>
    <w:rsid w:val="00AF3B3A"/>
    <w:rsid w:val="00AF4E8E"/>
    <w:rsid w:val="00AF6569"/>
    <w:rsid w:val="00B06265"/>
    <w:rsid w:val="00B115B5"/>
    <w:rsid w:val="00B409DF"/>
    <w:rsid w:val="00B5232A"/>
    <w:rsid w:val="00B60ED1"/>
    <w:rsid w:val="00B62CF5"/>
    <w:rsid w:val="00B63C90"/>
    <w:rsid w:val="00B65A46"/>
    <w:rsid w:val="00B70425"/>
    <w:rsid w:val="00B70652"/>
    <w:rsid w:val="00B82D03"/>
    <w:rsid w:val="00B85705"/>
    <w:rsid w:val="00B874DC"/>
    <w:rsid w:val="00B90F78"/>
    <w:rsid w:val="00B91123"/>
    <w:rsid w:val="00B937EB"/>
    <w:rsid w:val="00B955DE"/>
    <w:rsid w:val="00B95ADB"/>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232C2"/>
    <w:rsid w:val="00C40627"/>
    <w:rsid w:val="00C43EAF"/>
    <w:rsid w:val="00C457C3"/>
    <w:rsid w:val="00C51A52"/>
    <w:rsid w:val="00C5394B"/>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36BA2"/>
    <w:rsid w:val="00D372AC"/>
    <w:rsid w:val="00D37CF4"/>
    <w:rsid w:val="00D4487C"/>
    <w:rsid w:val="00D55316"/>
    <w:rsid w:val="00D63D33"/>
    <w:rsid w:val="00D73352"/>
    <w:rsid w:val="00D74EA4"/>
    <w:rsid w:val="00D84E46"/>
    <w:rsid w:val="00D935C3"/>
    <w:rsid w:val="00DA0266"/>
    <w:rsid w:val="00DA0F4B"/>
    <w:rsid w:val="00DA477E"/>
    <w:rsid w:val="00DB4BB0"/>
    <w:rsid w:val="00DC1544"/>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26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1F38A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049CF5C-9C02-4C21-B1E6-BBBE499B7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3.xml><?xml version="1.0" encoding="utf-8"?>
<ds:datastoreItem xmlns:ds="http://schemas.openxmlformats.org/officeDocument/2006/customXml" ds:itemID="{4947E748-110C-411D-8335-9ADAA263A0C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4</Pages>
  <Words>696</Words>
  <Characters>4387</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5073</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5</cp:revision>
  <cp:lastPrinted>2021-10-20T14:00:00Z</cp:lastPrinted>
  <dcterms:created xsi:type="dcterms:W3CDTF">2025-08-28T11:36:00Z</dcterms:created>
  <dcterms:modified xsi:type="dcterms:W3CDTF">2025-08-29T09:11:00Z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